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147" w:rsidRPr="00FE40A4" w:rsidRDefault="002A7147">
      <w:pPr>
        <w:widowControl w:val="0"/>
        <w:pBdr>
          <w:top w:val="nil"/>
          <w:left w:val="nil"/>
          <w:bottom w:val="nil"/>
          <w:right w:val="nil"/>
          <w:between w:val="nil"/>
        </w:pBdr>
        <w:spacing w:after="0" w:line="276" w:lineRule="auto"/>
        <w:ind w:left="0" w:hanging="2"/>
        <w:rPr>
          <w:color w:val="000000"/>
        </w:rPr>
      </w:pPr>
    </w:p>
    <w:tbl>
      <w:tblPr>
        <w:tblStyle w:val="a5"/>
        <w:tblW w:w="10490" w:type="dxa"/>
        <w:tblInd w:w="0" w:type="dxa"/>
        <w:tblLayout w:type="fixed"/>
        <w:tblLook w:val="0000" w:firstRow="0" w:lastRow="0" w:firstColumn="0" w:lastColumn="0" w:noHBand="0" w:noVBand="0"/>
      </w:tblPr>
      <w:tblGrid>
        <w:gridCol w:w="1809"/>
        <w:gridCol w:w="1701"/>
        <w:gridCol w:w="1701"/>
        <w:gridCol w:w="1843"/>
        <w:gridCol w:w="601"/>
        <w:gridCol w:w="2835"/>
      </w:tblGrid>
      <w:tr w:rsidR="002A7147" w:rsidRPr="00FE40A4">
        <w:trPr>
          <w:trHeight w:val="288"/>
        </w:trPr>
        <w:tc>
          <w:tcPr>
            <w:tcW w:w="1809" w:type="dxa"/>
          </w:tcPr>
          <w:p w:rsidR="002A7147" w:rsidRPr="00FE40A4" w:rsidRDefault="002A7147">
            <w:pPr>
              <w:pBdr>
                <w:top w:val="nil"/>
                <w:left w:val="nil"/>
                <w:bottom w:val="nil"/>
                <w:right w:val="nil"/>
                <w:between w:val="nil"/>
              </w:pBdr>
              <w:ind w:left="0" w:hanging="2"/>
              <w:rPr>
                <w:color w:val="000000"/>
              </w:rPr>
            </w:pPr>
          </w:p>
        </w:tc>
        <w:tc>
          <w:tcPr>
            <w:tcW w:w="1701" w:type="dxa"/>
          </w:tcPr>
          <w:p w:rsidR="002A7147" w:rsidRPr="00FE40A4" w:rsidRDefault="002A7147">
            <w:pPr>
              <w:pBdr>
                <w:top w:val="nil"/>
                <w:left w:val="nil"/>
                <w:bottom w:val="nil"/>
                <w:right w:val="nil"/>
                <w:between w:val="nil"/>
              </w:pBdr>
              <w:ind w:left="0" w:hanging="2"/>
              <w:rPr>
                <w:color w:val="000000"/>
              </w:rPr>
            </w:pPr>
          </w:p>
        </w:tc>
        <w:tc>
          <w:tcPr>
            <w:tcW w:w="1701" w:type="dxa"/>
          </w:tcPr>
          <w:p w:rsidR="002A7147" w:rsidRPr="00FE40A4" w:rsidRDefault="002A7147">
            <w:pPr>
              <w:pBdr>
                <w:top w:val="nil"/>
                <w:left w:val="nil"/>
                <w:bottom w:val="nil"/>
                <w:right w:val="nil"/>
                <w:between w:val="nil"/>
              </w:pBdr>
              <w:ind w:left="0" w:hanging="2"/>
              <w:rPr>
                <w:color w:val="000000"/>
              </w:rPr>
            </w:pPr>
          </w:p>
        </w:tc>
        <w:tc>
          <w:tcPr>
            <w:tcW w:w="1843" w:type="dxa"/>
          </w:tcPr>
          <w:p w:rsidR="002A7147" w:rsidRPr="00FE40A4" w:rsidRDefault="002A7147">
            <w:pPr>
              <w:pBdr>
                <w:top w:val="nil"/>
                <w:left w:val="nil"/>
                <w:bottom w:val="nil"/>
                <w:right w:val="nil"/>
                <w:between w:val="nil"/>
              </w:pBdr>
              <w:ind w:left="0" w:hanging="2"/>
              <w:rPr>
                <w:color w:val="000000"/>
              </w:rPr>
            </w:pPr>
          </w:p>
        </w:tc>
        <w:tc>
          <w:tcPr>
            <w:tcW w:w="601" w:type="dxa"/>
            <w:tcBorders>
              <w:right w:val="single" w:sz="4" w:space="0" w:color="000000"/>
            </w:tcBorders>
          </w:tcPr>
          <w:p w:rsidR="002A7147" w:rsidRPr="00FE40A4" w:rsidRDefault="002A7147">
            <w:pPr>
              <w:pBdr>
                <w:top w:val="nil"/>
                <w:left w:val="nil"/>
                <w:bottom w:val="nil"/>
                <w:right w:val="nil"/>
                <w:between w:val="nil"/>
              </w:pBdr>
              <w:ind w:left="0" w:hanging="2"/>
              <w:rPr>
                <w:color w:val="000000"/>
              </w:rPr>
            </w:pPr>
          </w:p>
        </w:tc>
        <w:tc>
          <w:tcPr>
            <w:tcW w:w="2835" w:type="dxa"/>
            <w:tcBorders>
              <w:top w:val="single" w:sz="4" w:space="0" w:color="000000"/>
              <w:left w:val="single" w:sz="4" w:space="0" w:color="000000"/>
              <w:bottom w:val="single" w:sz="4" w:space="0" w:color="000000"/>
              <w:right w:val="single" w:sz="4" w:space="0" w:color="000000"/>
            </w:tcBorders>
          </w:tcPr>
          <w:p w:rsidR="002A7147" w:rsidRPr="00FE40A4" w:rsidRDefault="00C20138">
            <w:pPr>
              <w:pBdr>
                <w:top w:val="nil"/>
                <w:left w:val="nil"/>
                <w:bottom w:val="nil"/>
                <w:right w:val="nil"/>
                <w:between w:val="nil"/>
              </w:pBdr>
              <w:ind w:left="0" w:right="142" w:hanging="2"/>
              <w:jc w:val="center"/>
              <w:rPr>
                <w:color w:val="000000"/>
              </w:rPr>
            </w:pPr>
            <w:r w:rsidRPr="00FE40A4">
              <w:t>ADMINISTRACJA KURSU</w:t>
            </w:r>
          </w:p>
        </w:tc>
      </w:tr>
    </w:tbl>
    <w:p w:rsidR="002A7147" w:rsidRPr="00FE40A4" w:rsidRDefault="002A7147">
      <w:pPr>
        <w:pBdr>
          <w:top w:val="nil"/>
          <w:left w:val="nil"/>
          <w:bottom w:val="nil"/>
          <w:right w:val="nil"/>
          <w:between w:val="nil"/>
        </w:pBdr>
        <w:jc w:val="center"/>
        <w:rPr>
          <w:color w:val="FFFFFF"/>
          <w:sz w:val="6"/>
          <w:szCs w:val="6"/>
        </w:rPr>
      </w:pPr>
    </w:p>
    <w:p w:rsidR="002A7147" w:rsidRPr="00FE40A4" w:rsidRDefault="00C20138">
      <w:pPr>
        <w:pBdr>
          <w:top w:val="nil"/>
          <w:left w:val="nil"/>
          <w:bottom w:val="nil"/>
          <w:right w:val="nil"/>
          <w:between w:val="nil"/>
        </w:pBdr>
        <w:shd w:val="clear" w:color="auto" w:fill="7030A0"/>
        <w:ind w:left="2" w:hanging="4"/>
        <w:jc w:val="center"/>
        <w:rPr>
          <w:b/>
          <w:color w:val="FFFFFF"/>
          <w:sz w:val="40"/>
          <w:szCs w:val="40"/>
        </w:rPr>
      </w:pPr>
      <w:r w:rsidRPr="00FE40A4">
        <w:rPr>
          <w:b/>
          <w:color w:val="FFFFFF"/>
          <w:sz w:val="40"/>
          <w:szCs w:val="40"/>
        </w:rPr>
        <w:t>Zestaw do oceny</w:t>
      </w:r>
    </w:p>
    <w:p w:rsidR="002A7147" w:rsidRPr="00FE40A4" w:rsidRDefault="00C20138">
      <w:pPr>
        <w:pBdr>
          <w:top w:val="nil"/>
          <w:left w:val="nil"/>
          <w:bottom w:val="nil"/>
          <w:right w:val="nil"/>
          <w:between w:val="nil"/>
        </w:pBdr>
        <w:shd w:val="clear" w:color="auto" w:fill="7030A0"/>
        <w:ind w:left="0" w:hanging="2"/>
        <w:jc w:val="center"/>
        <w:rPr>
          <w:i/>
          <w:color w:val="FFFFFF"/>
        </w:rPr>
      </w:pPr>
      <w:r w:rsidRPr="00FE40A4">
        <w:rPr>
          <w:i/>
          <w:color w:val="FFFFFF"/>
        </w:rPr>
        <w:t>Oceniaj kursy językowe wykorzystując zestaw kwestionariuszy oceny opracowany w ramach projektu F2F2D!</w:t>
      </w:r>
    </w:p>
    <w:p w:rsidR="002A7147" w:rsidRPr="00FE40A4" w:rsidRDefault="00C20138">
      <w:pPr>
        <w:keepNext/>
        <w:keepLines/>
        <w:pBdr>
          <w:top w:val="nil"/>
          <w:left w:val="nil"/>
          <w:bottom w:val="nil"/>
          <w:right w:val="nil"/>
          <w:between w:val="nil"/>
        </w:pBdr>
        <w:spacing w:before="240" w:after="0"/>
        <w:ind w:left="1" w:hanging="3"/>
        <w:rPr>
          <w:b/>
          <w:color w:val="2F5496"/>
          <w:sz w:val="32"/>
          <w:szCs w:val="32"/>
        </w:rPr>
      </w:pPr>
      <w:r w:rsidRPr="00FE40A4">
        <w:rPr>
          <w:b/>
          <w:color w:val="2F5496"/>
          <w:sz w:val="32"/>
          <w:szCs w:val="32"/>
        </w:rPr>
        <w:t xml:space="preserve">Cel </w:t>
      </w:r>
    </w:p>
    <w:p w:rsidR="002A7147" w:rsidRPr="00FE40A4" w:rsidRDefault="00C20138">
      <w:pPr>
        <w:pBdr>
          <w:top w:val="nil"/>
          <w:left w:val="nil"/>
          <w:bottom w:val="nil"/>
          <w:right w:val="nil"/>
          <w:between w:val="nil"/>
        </w:pBdr>
        <w:spacing w:before="120" w:after="120" w:line="240" w:lineRule="auto"/>
        <w:ind w:left="0" w:hanging="2"/>
        <w:jc w:val="both"/>
        <w:rPr>
          <w:color w:val="000000"/>
          <w:highlight w:val="white"/>
        </w:rPr>
      </w:pPr>
      <w:r w:rsidRPr="00FE40A4">
        <w:rPr>
          <w:highlight w:val="white"/>
        </w:rPr>
        <w:t>Zestaw kwestionariuszy do oceny został zaprojektowany, aby pomóc nauczycielom, trenerom i pracownikom administracyjnym szkół językowych w uzyskiwaniu informacji zwrotnych na temat prowadzonego procesu edukacyjnego. Dzięki zastosowaniu elementów zestawu szkoły językowe będą mogły oferować efektywne środowisko uczenia się, przy przechodzeniu z trybu stacjonarnego na tryb zdalny, ale także będą w stanie wykorzystać maksymalnie zasoby instytucjonalne.</w:t>
      </w:r>
    </w:p>
    <w:p w:rsidR="002A7147" w:rsidRPr="00FE40A4" w:rsidRDefault="00C20138">
      <w:pPr>
        <w:keepNext/>
        <w:keepLines/>
        <w:pBdr>
          <w:top w:val="nil"/>
          <w:left w:val="nil"/>
          <w:bottom w:val="nil"/>
          <w:right w:val="nil"/>
          <w:between w:val="nil"/>
        </w:pBdr>
        <w:spacing w:before="240" w:after="0"/>
        <w:ind w:left="1" w:hanging="3"/>
        <w:rPr>
          <w:b/>
          <w:color w:val="2F5496"/>
          <w:sz w:val="32"/>
          <w:szCs w:val="32"/>
        </w:rPr>
      </w:pPr>
      <w:r w:rsidRPr="00FE40A4">
        <w:rPr>
          <w:b/>
          <w:color w:val="2F5496"/>
          <w:sz w:val="32"/>
          <w:szCs w:val="32"/>
        </w:rPr>
        <w:t>Elementy zestawu</w:t>
      </w:r>
    </w:p>
    <w:p w:rsidR="002A7147" w:rsidRPr="00FE40A4" w:rsidRDefault="00C20138">
      <w:pPr>
        <w:pBdr>
          <w:top w:val="nil"/>
          <w:left w:val="nil"/>
          <w:bottom w:val="nil"/>
          <w:right w:val="nil"/>
          <w:between w:val="nil"/>
        </w:pBdr>
        <w:spacing w:before="120" w:after="120" w:line="240" w:lineRule="auto"/>
        <w:ind w:left="0" w:hanging="2"/>
        <w:jc w:val="both"/>
      </w:pPr>
      <w:r w:rsidRPr="00FE40A4">
        <w:t>Zestaw do oceny zawiera:</w:t>
      </w:r>
    </w:p>
    <w:p w:rsidR="002A7147" w:rsidRPr="00FE40A4" w:rsidRDefault="00C20138">
      <w:pPr>
        <w:numPr>
          <w:ilvl w:val="0"/>
          <w:numId w:val="1"/>
        </w:numPr>
        <w:pBdr>
          <w:top w:val="nil"/>
          <w:left w:val="nil"/>
          <w:bottom w:val="nil"/>
          <w:right w:val="nil"/>
          <w:between w:val="nil"/>
        </w:pBdr>
        <w:spacing w:before="120" w:after="0" w:line="240" w:lineRule="auto"/>
        <w:ind w:left="0" w:hanging="2"/>
        <w:jc w:val="both"/>
      </w:pPr>
      <w:r w:rsidRPr="00FE40A4">
        <w:rPr>
          <w:b/>
        </w:rPr>
        <w:t xml:space="preserve">5 gotowych ankiet (Q=kwestionariusz), (pliki </w:t>
      </w:r>
      <w:proofErr w:type="spellStart"/>
      <w:r w:rsidRPr="00FE40A4">
        <w:rPr>
          <w:b/>
        </w:rPr>
        <w:t>doc</w:t>
      </w:r>
      <w:proofErr w:type="spellEnd"/>
      <w:r w:rsidRPr="00FE40A4">
        <w:rPr>
          <w:b/>
        </w:rPr>
        <w:t>):</w:t>
      </w:r>
    </w:p>
    <w:p w:rsidR="002A7147" w:rsidRPr="00FE40A4" w:rsidRDefault="00C20138">
      <w:pPr>
        <w:numPr>
          <w:ilvl w:val="1"/>
          <w:numId w:val="1"/>
        </w:numPr>
        <w:pBdr>
          <w:top w:val="nil"/>
          <w:left w:val="nil"/>
          <w:bottom w:val="nil"/>
          <w:right w:val="nil"/>
          <w:between w:val="nil"/>
        </w:pBdr>
        <w:spacing w:before="120" w:after="0" w:line="240" w:lineRule="auto"/>
        <w:ind w:left="0" w:hanging="2"/>
        <w:jc w:val="both"/>
        <w:rPr>
          <w:color w:val="000000"/>
        </w:rPr>
      </w:pPr>
      <w:r w:rsidRPr="00FE40A4">
        <w:t xml:space="preserve">Q1 – Potrzeby i oczekiwania uczniów </w:t>
      </w:r>
    </w:p>
    <w:p w:rsidR="002A7147" w:rsidRPr="00FE40A4" w:rsidRDefault="00C20138">
      <w:pPr>
        <w:pBdr>
          <w:top w:val="nil"/>
          <w:left w:val="nil"/>
          <w:bottom w:val="nil"/>
          <w:right w:val="nil"/>
          <w:between w:val="nil"/>
        </w:pBdr>
        <w:spacing w:before="120" w:after="120" w:line="240" w:lineRule="auto"/>
        <w:ind w:left="0" w:hanging="2"/>
        <w:jc w:val="both"/>
        <w:rPr>
          <w:i/>
        </w:rPr>
      </w:pPr>
      <w:r w:rsidRPr="00FE40A4">
        <w:rPr>
          <w:i/>
        </w:rPr>
        <w:t>Celem ankiety jest dokonanie wstępnej i ogólnej diagnozy potrzeb i oczekiwań uczniów wobec kursu językowego. Diagnoza powinna być pogłębiona przez trenerów podczas pierwszych zajęć.</w:t>
      </w:r>
    </w:p>
    <w:p w:rsidR="002A7147" w:rsidRPr="00FE40A4" w:rsidRDefault="00C20138">
      <w:pPr>
        <w:numPr>
          <w:ilvl w:val="1"/>
          <w:numId w:val="1"/>
        </w:numPr>
        <w:pBdr>
          <w:top w:val="nil"/>
          <w:left w:val="nil"/>
          <w:bottom w:val="nil"/>
          <w:right w:val="nil"/>
          <w:between w:val="nil"/>
        </w:pBdr>
        <w:spacing w:after="0" w:line="240" w:lineRule="auto"/>
        <w:ind w:left="0" w:hanging="2"/>
        <w:jc w:val="both"/>
        <w:rPr>
          <w:color w:val="000000"/>
        </w:rPr>
      </w:pPr>
      <w:r w:rsidRPr="00FE40A4">
        <w:t>Q2 – Ocena semestralna (</w:t>
      </w:r>
      <w:proofErr w:type="spellStart"/>
      <w:r w:rsidRPr="00FE40A4">
        <w:t>śródsemestralna</w:t>
      </w:r>
      <w:proofErr w:type="spellEnd"/>
      <w:r w:rsidRPr="00FE40A4">
        <w:t>)</w:t>
      </w:r>
    </w:p>
    <w:p w:rsidR="002A7147" w:rsidRPr="00FE40A4" w:rsidRDefault="00C20138">
      <w:pPr>
        <w:pBdr>
          <w:top w:val="nil"/>
          <w:left w:val="nil"/>
          <w:bottom w:val="nil"/>
          <w:right w:val="nil"/>
          <w:between w:val="nil"/>
        </w:pBdr>
        <w:spacing w:before="120" w:after="120" w:line="240" w:lineRule="auto"/>
        <w:ind w:left="0" w:hanging="2"/>
        <w:jc w:val="both"/>
        <w:rPr>
          <w:color w:val="000000"/>
        </w:rPr>
      </w:pPr>
      <w:r w:rsidRPr="00FE40A4">
        <w:rPr>
          <w:i/>
          <w:highlight w:val="white"/>
        </w:rPr>
        <w:t>Celem ankiety jest zebranie informacji zwrotnych od uczestników kursu w trakcie jego trwania. Dostarcza administracji szkoły szczegółowych informacji na temat każdego elementu kursu. Na podstawie tych dany</w:t>
      </w:r>
      <w:r w:rsidRPr="00FE40A4">
        <w:rPr>
          <w:i/>
        </w:rPr>
        <w:t>ch administracja szkoły może podejmować działania naprawcze w następujących obszarach: infrastruktura, trenerzy, materiały dydaktyczne, narzędzia internetowe, itp.</w:t>
      </w:r>
    </w:p>
    <w:p w:rsidR="002A7147" w:rsidRPr="00FE40A4" w:rsidRDefault="00C20138">
      <w:pPr>
        <w:numPr>
          <w:ilvl w:val="1"/>
          <w:numId w:val="1"/>
        </w:numPr>
        <w:pBdr>
          <w:top w:val="nil"/>
          <w:left w:val="nil"/>
          <w:bottom w:val="nil"/>
          <w:right w:val="nil"/>
          <w:between w:val="nil"/>
        </w:pBdr>
        <w:spacing w:after="0" w:line="240" w:lineRule="auto"/>
        <w:ind w:left="0" w:hanging="2"/>
        <w:jc w:val="both"/>
        <w:rPr>
          <w:color w:val="000000"/>
        </w:rPr>
      </w:pPr>
      <w:r w:rsidRPr="00FE40A4">
        <w:t>Q3 – Ocena końcowa kursu/semestru</w:t>
      </w:r>
    </w:p>
    <w:p w:rsidR="002A7147" w:rsidRPr="00FE40A4" w:rsidRDefault="00C20138">
      <w:pPr>
        <w:pBdr>
          <w:top w:val="nil"/>
          <w:left w:val="nil"/>
          <w:bottom w:val="nil"/>
          <w:right w:val="nil"/>
          <w:between w:val="nil"/>
        </w:pBdr>
        <w:spacing w:before="120" w:after="120" w:line="240" w:lineRule="auto"/>
        <w:ind w:left="0" w:hanging="2"/>
        <w:jc w:val="both"/>
        <w:rPr>
          <w:color w:val="000000"/>
        </w:rPr>
      </w:pPr>
      <w:r w:rsidRPr="00FE40A4">
        <w:rPr>
          <w:i/>
        </w:rPr>
        <w:t>Celem ankiety jest zebranie informacji zwrotnej od uczestników na koniec kursu, bez względu na to, czy trwa on dwa semestry, jeden semestr czy kilka tygodni. Formularz ma służyć jako ostateczna, ogólna ocena. Nie dostarcza nam szczegółowych informacji na temat każdego elementu kursu.</w:t>
      </w:r>
    </w:p>
    <w:p w:rsidR="002A7147" w:rsidRPr="00FE40A4" w:rsidRDefault="00C20138">
      <w:pPr>
        <w:pBdr>
          <w:top w:val="nil"/>
          <w:left w:val="nil"/>
          <w:bottom w:val="nil"/>
          <w:right w:val="nil"/>
          <w:between w:val="nil"/>
        </w:pBdr>
        <w:spacing w:before="120" w:after="120" w:line="240" w:lineRule="auto"/>
        <w:ind w:left="0" w:hanging="2"/>
        <w:jc w:val="both"/>
      </w:pPr>
      <w:r w:rsidRPr="00FE40A4">
        <w:rPr>
          <w:i/>
        </w:rPr>
        <w:t>Q2 i Q3 mogą być używane naprzemiennie, w razie potrzeby mogą zostać połączone.</w:t>
      </w:r>
    </w:p>
    <w:p w:rsidR="002A7147" w:rsidRPr="00FE40A4" w:rsidRDefault="00C20138">
      <w:pPr>
        <w:numPr>
          <w:ilvl w:val="1"/>
          <w:numId w:val="1"/>
        </w:numPr>
        <w:pBdr>
          <w:top w:val="nil"/>
          <w:left w:val="nil"/>
          <w:bottom w:val="nil"/>
          <w:right w:val="nil"/>
          <w:between w:val="nil"/>
        </w:pBdr>
        <w:spacing w:after="0" w:line="240" w:lineRule="auto"/>
        <w:ind w:left="0" w:hanging="2"/>
        <w:jc w:val="both"/>
        <w:rPr>
          <w:color w:val="000000"/>
        </w:rPr>
      </w:pPr>
      <w:r w:rsidRPr="00FE40A4">
        <w:t>Q4 – Samoocena szkoły językowej</w:t>
      </w:r>
    </w:p>
    <w:p w:rsidR="002A7147" w:rsidRPr="00FE40A4" w:rsidRDefault="00C20138">
      <w:pPr>
        <w:pBdr>
          <w:top w:val="nil"/>
          <w:left w:val="nil"/>
          <w:bottom w:val="nil"/>
          <w:right w:val="nil"/>
          <w:between w:val="nil"/>
        </w:pBdr>
        <w:spacing w:before="120" w:after="120" w:line="240" w:lineRule="auto"/>
        <w:ind w:left="0" w:hanging="2"/>
        <w:jc w:val="both"/>
        <w:rPr>
          <w:color w:val="000000"/>
        </w:rPr>
      </w:pPr>
      <w:r w:rsidRPr="00FE40A4">
        <w:rPr>
          <w:i/>
        </w:rPr>
        <w:t>Celem tej ankiety jest zebranie informacji zwrotnej od administracji i kadry dydaktycznej na temat procesu świadczenia usług edukacyjnych z perspektywy osób zaangażowanych w ich realizację i organizację.</w:t>
      </w:r>
    </w:p>
    <w:p w:rsidR="002A7147" w:rsidRPr="00FE40A4" w:rsidRDefault="00C20138">
      <w:pPr>
        <w:numPr>
          <w:ilvl w:val="1"/>
          <w:numId w:val="1"/>
        </w:numPr>
        <w:pBdr>
          <w:top w:val="nil"/>
          <w:left w:val="nil"/>
          <w:bottom w:val="nil"/>
          <w:right w:val="nil"/>
          <w:between w:val="nil"/>
        </w:pBdr>
        <w:spacing w:after="0" w:line="240" w:lineRule="auto"/>
        <w:ind w:left="0" w:hanging="2"/>
        <w:jc w:val="both"/>
        <w:rPr>
          <w:color w:val="000000"/>
        </w:rPr>
      </w:pPr>
      <w:r w:rsidRPr="00FE40A4">
        <w:t>Q5 – Szablon samooceny ucznia</w:t>
      </w:r>
    </w:p>
    <w:p w:rsidR="002A7147" w:rsidRPr="00FE40A4" w:rsidRDefault="00C20138">
      <w:pPr>
        <w:pBdr>
          <w:top w:val="nil"/>
          <w:left w:val="nil"/>
          <w:bottom w:val="nil"/>
          <w:right w:val="nil"/>
          <w:between w:val="nil"/>
        </w:pBdr>
        <w:spacing w:before="120" w:after="120" w:line="240" w:lineRule="auto"/>
        <w:ind w:left="0" w:hanging="2"/>
        <w:jc w:val="both"/>
        <w:rPr>
          <w:color w:val="000000"/>
        </w:rPr>
      </w:pPr>
      <w:r w:rsidRPr="00FE40A4">
        <w:rPr>
          <w:i/>
          <w:highlight w:val="white"/>
        </w:rPr>
        <w:t>Celem samooceny jest uczynienie uczniów odpowiedzialnymi za proces uczenia się. Uczniowie otrzymują formularz opisujący różne poziomy ko</w:t>
      </w:r>
      <w:r w:rsidRPr="00FE40A4">
        <w:rPr>
          <w:i/>
        </w:rPr>
        <w:t>mpetencji językowych i monitorują swoje postępy. Zaleca się rozdawanie formularzy uczniom za każdym razem, gdy zostaną poproszeni o wypełnienie Q1, Q2, Q3.</w:t>
      </w:r>
      <w:r w:rsidRPr="00FE40A4">
        <w:rPr>
          <w:i/>
          <w:color w:val="000000"/>
        </w:rPr>
        <w:t xml:space="preserve">  </w:t>
      </w:r>
    </w:p>
    <w:p w:rsidR="002A7147" w:rsidRPr="00FE40A4" w:rsidRDefault="00C20138">
      <w:pPr>
        <w:pBdr>
          <w:top w:val="nil"/>
          <w:left w:val="nil"/>
          <w:bottom w:val="nil"/>
          <w:right w:val="nil"/>
          <w:between w:val="nil"/>
        </w:pBdr>
        <w:spacing w:after="0" w:line="240" w:lineRule="auto"/>
        <w:ind w:left="0" w:hanging="2"/>
        <w:jc w:val="both"/>
      </w:pPr>
      <w:r w:rsidRPr="00FE40A4">
        <w:t>Każdy z wymienionych kwestionariuszy może być dostosowany przez instytucję/trenera do własnych potrzeb. Każdy użytkownik może dodać, usunąć lub przeformułować dowolne pytanie lub odpowiedź.</w:t>
      </w:r>
    </w:p>
    <w:p w:rsidR="002A7147" w:rsidRPr="00FE40A4" w:rsidRDefault="002A7147">
      <w:pPr>
        <w:pBdr>
          <w:top w:val="nil"/>
          <w:left w:val="nil"/>
          <w:bottom w:val="nil"/>
          <w:right w:val="nil"/>
          <w:between w:val="nil"/>
        </w:pBdr>
        <w:spacing w:after="0" w:line="240" w:lineRule="auto"/>
        <w:ind w:left="0" w:hanging="2"/>
        <w:jc w:val="both"/>
      </w:pPr>
    </w:p>
    <w:p w:rsidR="002A7147" w:rsidRPr="00FE40A4" w:rsidRDefault="002A7147">
      <w:pPr>
        <w:pBdr>
          <w:top w:val="nil"/>
          <w:left w:val="nil"/>
          <w:bottom w:val="nil"/>
          <w:right w:val="nil"/>
          <w:between w:val="nil"/>
        </w:pBdr>
        <w:spacing w:after="0" w:line="240" w:lineRule="auto"/>
        <w:ind w:left="0" w:hanging="2"/>
        <w:jc w:val="both"/>
      </w:pPr>
    </w:p>
    <w:p w:rsidR="002A7147" w:rsidRPr="00FE40A4" w:rsidRDefault="002A7147">
      <w:pPr>
        <w:pBdr>
          <w:top w:val="nil"/>
          <w:left w:val="nil"/>
          <w:bottom w:val="nil"/>
          <w:right w:val="nil"/>
          <w:between w:val="nil"/>
        </w:pBdr>
        <w:spacing w:after="0" w:line="240" w:lineRule="auto"/>
        <w:ind w:left="0" w:hanging="2"/>
        <w:jc w:val="both"/>
      </w:pPr>
    </w:p>
    <w:p w:rsidR="002A7147" w:rsidRPr="00FE40A4" w:rsidRDefault="00C20138">
      <w:pPr>
        <w:numPr>
          <w:ilvl w:val="0"/>
          <w:numId w:val="1"/>
        </w:numPr>
        <w:pBdr>
          <w:top w:val="nil"/>
          <w:left w:val="nil"/>
          <w:bottom w:val="nil"/>
          <w:right w:val="nil"/>
          <w:between w:val="nil"/>
        </w:pBdr>
        <w:spacing w:before="120" w:after="0" w:line="240" w:lineRule="auto"/>
        <w:ind w:left="0" w:hanging="2"/>
        <w:jc w:val="both"/>
        <w:rPr>
          <w:color w:val="000000"/>
        </w:rPr>
      </w:pPr>
      <w:r w:rsidRPr="00FE40A4">
        <w:rPr>
          <w:b/>
        </w:rPr>
        <w:lastRenderedPageBreak/>
        <w:t>Baza pytań (plik Excel)</w:t>
      </w:r>
    </w:p>
    <w:p w:rsidR="002A7147" w:rsidRPr="00FE40A4" w:rsidRDefault="00C20138">
      <w:pPr>
        <w:pBdr>
          <w:top w:val="nil"/>
          <w:left w:val="nil"/>
          <w:bottom w:val="nil"/>
          <w:right w:val="nil"/>
          <w:between w:val="nil"/>
        </w:pBdr>
        <w:spacing w:before="120" w:after="120" w:line="240" w:lineRule="auto"/>
        <w:ind w:left="0" w:hanging="2"/>
        <w:jc w:val="both"/>
        <w:rPr>
          <w:color w:val="000000"/>
          <w:highlight w:val="white"/>
        </w:rPr>
      </w:pPr>
      <w:r w:rsidRPr="00FE40A4">
        <w:rPr>
          <w:i/>
          <w:highlight w:val="white"/>
        </w:rPr>
        <w:t>Baza pytań ma pomóc nauczycielom, trenerom i pracownikom administracyjnym w zaprojektowaniu kwestionariuszy, które będą odpowiadać ich indywidualnym potrzebom. Wszystkie pytania pogrupowane są w sekcje, co ułatwia użytkownikowi ich wyszukiwanie, ale także pomaga uporządkować pytania w formularzu. Kolumny odpowiadają rodzajowi ankiety (definiowanym przez cel gromadzenia danych), a wiersze zawierają pytania, które mogą zostać wykorzystane do zbudowania danej ankiety. Baza pytań powstała w oparciu o materiały zebrane przez partnerstwo podczas pracy nad  jednym z elementów czwartego rezultatu projektu – Analiza dobrych praktyk.</w:t>
      </w:r>
    </w:p>
    <w:p w:rsidR="002A7147" w:rsidRPr="00FE40A4" w:rsidRDefault="00C20138">
      <w:pPr>
        <w:numPr>
          <w:ilvl w:val="0"/>
          <w:numId w:val="1"/>
        </w:numPr>
        <w:pBdr>
          <w:top w:val="nil"/>
          <w:left w:val="nil"/>
          <w:bottom w:val="nil"/>
          <w:right w:val="nil"/>
          <w:between w:val="nil"/>
        </w:pBdr>
        <w:spacing w:after="0" w:line="240" w:lineRule="auto"/>
        <w:ind w:left="0" w:hanging="2"/>
        <w:jc w:val="both"/>
        <w:rPr>
          <w:color w:val="000000"/>
        </w:rPr>
      </w:pPr>
      <w:r w:rsidRPr="00FE40A4">
        <w:rPr>
          <w:b/>
        </w:rPr>
        <w:t>Plik do kodowania (plik Excel)</w:t>
      </w:r>
    </w:p>
    <w:p w:rsidR="002A7147" w:rsidRPr="00FE40A4" w:rsidRDefault="00C20138">
      <w:pPr>
        <w:pBdr>
          <w:top w:val="nil"/>
          <w:left w:val="nil"/>
          <w:bottom w:val="nil"/>
          <w:right w:val="nil"/>
          <w:between w:val="nil"/>
        </w:pBdr>
        <w:spacing w:before="120" w:after="0" w:line="240" w:lineRule="auto"/>
        <w:ind w:left="0" w:hanging="2"/>
        <w:jc w:val="both"/>
        <w:rPr>
          <w:color w:val="000000"/>
          <w:highlight w:val="white"/>
        </w:rPr>
      </w:pPr>
      <w:r w:rsidRPr="00FE40A4">
        <w:rPr>
          <w:i/>
          <w:highlight w:val="white"/>
        </w:rPr>
        <w:t>Ankiety przeznaczone są głównie do wykorzystania w formie drukowanej. Personel szkoły językowej rozdaje formularze respondentom, a następnie zbiera je po wypełnieniu, koduje i liczy odpowiedzi, aby uzyskać wyniki. Kiedy ankiety  wypełniane są online, cała ta praca  wykonywana jest przez system. W przypadku ankiet drukowanych szkoła bądź nauczyciel muszą to zrobić samodzielnie. W praktyce nauczyciel lub pracownik administracyjny nadaje numer każdemu wypełnionemu formularzowi i wpisuje odpowiedzi do dostarczonego pliku do kodowania. Plik Excel składa się z 4 arkuszy, każdy zaprojektowany tak, aby pasował do innej ankiety (Q1, Q2, Q3, Q4).</w:t>
      </w:r>
    </w:p>
    <w:p w:rsidR="002A7147" w:rsidRPr="00FE40A4" w:rsidRDefault="00C20138">
      <w:pPr>
        <w:pBdr>
          <w:top w:val="nil"/>
          <w:left w:val="nil"/>
          <w:bottom w:val="nil"/>
          <w:right w:val="nil"/>
          <w:between w:val="nil"/>
        </w:pBdr>
        <w:spacing w:before="120" w:after="0" w:line="240" w:lineRule="auto"/>
        <w:ind w:left="0" w:hanging="2"/>
        <w:jc w:val="both"/>
        <w:rPr>
          <w:color w:val="000000"/>
        </w:rPr>
      </w:pPr>
      <w:r w:rsidRPr="00FE40A4">
        <w:rPr>
          <w:i/>
        </w:rPr>
        <w:t>Kolumny w pliku odpowiadają pytaniom z ankiet oraz przypisanym im wszystkimi możliwym odpowiedziom. Każdy wiersz jest dedykowany jednej ankiecie, wypełniony odpowiedziami udzielonymi przez indywidualnego respondenta. Na przykład, jeśli ankieta dostałaby nr 5 podczas procesu kodowania, wszystkie odpowiedzi z niego byłyby umieszczone w piątym wierszu (wiersz z numerem 5). Należy pamiętać o tym, iż “1” wpisujemy w miejscu gdzie została wybrana dana odpowiedź, a “0” tam, gdzie odpowiedź nie została wybrana. Instrukcja kodowania znajduje się pod tabelą. Po umieszczeniu wszystkich odpowiedzi w tabeli wyniki pojawią się w ostatniej sekcji (suma wierszy). W ten sposób podliczone zostaną pozytywne odpowiedzi na każde pytanie zawarte w ankiecie.</w:t>
      </w:r>
    </w:p>
    <w:p w:rsidR="002A7147" w:rsidRPr="00FE40A4" w:rsidRDefault="002A7147">
      <w:pPr>
        <w:pBdr>
          <w:top w:val="nil"/>
          <w:left w:val="nil"/>
          <w:bottom w:val="nil"/>
          <w:right w:val="nil"/>
          <w:between w:val="nil"/>
        </w:pBdr>
        <w:spacing w:after="0" w:line="240" w:lineRule="auto"/>
        <w:ind w:left="0" w:hanging="2"/>
        <w:jc w:val="both"/>
        <w:rPr>
          <w:color w:val="000000"/>
        </w:rPr>
      </w:pPr>
    </w:p>
    <w:p w:rsidR="002A7147" w:rsidRPr="00FE40A4" w:rsidRDefault="00C20138">
      <w:pPr>
        <w:numPr>
          <w:ilvl w:val="0"/>
          <w:numId w:val="1"/>
        </w:numPr>
        <w:pBdr>
          <w:top w:val="nil"/>
          <w:left w:val="nil"/>
          <w:bottom w:val="nil"/>
          <w:right w:val="nil"/>
          <w:between w:val="nil"/>
        </w:pBdr>
        <w:spacing w:after="0" w:line="240" w:lineRule="auto"/>
        <w:ind w:left="0" w:hanging="2"/>
        <w:jc w:val="both"/>
        <w:rPr>
          <w:color w:val="000000"/>
        </w:rPr>
      </w:pPr>
      <w:r w:rsidRPr="00FE40A4">
        <w:rPr>
          <w:b/>
        </w:rPr>
        <w:t xml:space="preserve">4 szablony raportów (Q1, Q2, Q3, Q4) (pliki </w:t>
      </w:r>
      <w:proofErr w:type="spellStart"/>
      <w:r w:rsidRPr="00FE40A4">
        <w:rPr>
          <w:b/>
        </w:rPr>
        <w:t>doc</w:t>
      </w:r>
      <w:proofErr w:type="spellEnd"/>
      <w:r w:rsidRPr="00FE40A4">
        <w:rPr>
          <w:b/>
        </w:rPr>
        <w:t>)</w:t>
      </w:r>
    </w:p>
    <w:p w:rsidR="002A7147" w:rsidRPr="00FE40A4" w:rsidRDefault="00C20138">
      <w:pPr>
        <w:pBdr>
          <w:top w:val="nil"/>
          <w:left w:val="nil"/>
          <w:bottom w:val="nil"/>
          <w:right w:val="nil"/>
          <w:between w:val="nil"/>
        </w:pBdr>
        <w:spacing w:before="120" w:after="0" w:line="240" w:lineRule="auto"/>
        <w:ind w:left="0" w:hanging="2"/>
        <w:jc w:val="both"/>
        <w:rPr>
          <w:color w:val="000000"/>
        </w:rPr>
      </w:pPr>
      <w:r w:rsidRPr="00FE40A4">
        <w:rPr>
          <w:i/>
        </w:rPr>
        <w:t>Raport z każdego badania ankietowego ma istotne znaczenie dla osób zarządzających szkołą. Wyniki badania są punktem wyjścia do podjęcia decyzji, dlatego należy je przedstawiać kadrze zarządzającej w prosty i zrozumiały sposób. W związku z tym szablony sprawozdawcze to krótkie dokumenty zawierające tylko niezbędne dane.</w:t>
      </w:r>
    </w:p>
    <w:p w:rsidR="002A7147" w:rsidRPr="00FE40A4" w:rsidRDefault="00C20138">
      <w:pPr>
        <w:keepNext/>
        <w:keepLines/>
        <w:pBdr>
          <w:top w:val="nil"/>
          <w:left w:val="nil"/>
          <w:bottom w:val="nil"/>
          <w:right w:val="nil"/>
          <w:between w:val="nil"/>
        </w:pBdr>
        <w:spacing w:before="240" w:after="0"/>
        <w:ind w:left="1" w:hanging="3"/>
        <w:rPr>
          <w:b/>
          <w:color w:val="2F5496"/>
          <w:sz w:val="32"/>
          <w:szCs w:val="32"/>
        </w:rPr>
      </w:pPr>
      <w:r w:rsidRPr="00FE40A4">
        <w:rPr>
          <w:b/>
          <w:color w:val="2F5496"/>
          <w:sz w:val="32"/>
          <w:szCs w:val="32"/>
        </w:rPr>
        <w:t>Możliwość wykorzystania opracowanych narzędzi</w:t>
      </w:r>
    </w:p>
    <w:p w:rsidR="002A7147" w:rsidRPr="00FE40A4" w:rsidRDefault="00C20138">
      <w:pPr>
        <w:pBdr>
          <w:top w:val="nil"/>
          <w:left w:val="nil"/>
          <w:bottom w:val="nil"/>
          <w:right w:val="nil"/>
          <w:between w:val="nil"/>
        </w:pBdr>
        <w:spacing w:before="120" w:after="120" w:line="240" w:lineRule="auto"/>
        <w:ind w:left="0" w:hanging="2"/>
      </w:pPr>
      <w:r w:rsidRPr="00FE40A4">
        <w:t xml:space="preserve">Choć opracowane narzędzia dostarczane są w formie do druku, można je łatwo przekształcić w format online. Po wybraniu pytań z bazy lub wybraniu konkretnej ankiety można skorzystać z jednego z wielu dostępnych narzędzi do prowadzenia badań online (formularz </w:t>
      </w:r>
      <w:proofErr w:type="spellStart"/>
      <w:r w:rsidRPr="00FE40A4">
        <w:t>google</w:t>
      </w:r>
      <w:proofErr w:type="spellEnd"/>
      <w:r w:rsidRPr="00FE40A4">
        <w:t xml:space="preserve">, ankieta </w:t>
      </w:r>
      <w:proofErr w:type="spellStart"/>
      <w:r w:rsidRPr="00FE40A4">
        <w:t>monkey</w:t>
      </w:r>
      <w:proofErr w:type="spellEnd"/>
      <w:r w:rsidRPr="00FE40A4">
        <w:t xml:space="preserve"> itp.). Po wklejeniu pytań do formularza należy  przesłać link do badania online respondentom i rozpocząć gromadzenie odpowiedzi. </w:t>
      </w:r>
    </w:p>
    <w:p w:rsidR="002A7147" w:rsidRPr="00FE40A4" w:rsidRDefault="002A7147">
      <w:pPr>
        <w:pBdr>
          <w:top w:val="nil"/>
          <w:left w:val="nil"/>
          <w:bottom w:val="nil"/>
          <w:right w:val="nil"/>
          <w:between w:val="nil"/>
        </w:pBdr>
        <w:spacing w:before="120" w:after="120" w:line="240" w:lineRule="auto"/>
        <w:ind w:left="0" w:hanging="2"/>
      </w:pPr>
    </w:p>
    <w:p w:rsidR="002A7147" w:rsidRPr="00FE40A4" w:rsidRDefault="002A7147">
      <w:pPr>
        <w:pBdr>
          <w:top w:val="nil"/>
          <w:left w:val="nil"/>
          <w:bottom w:val="nil"/>
          <w:right w:val="nil"/>
          <w:between w:val="nil"/>
        </w:pBdr>
        <w:spacing w:before="120" w:after="120" w:line="240" w:lineRule="auto"/>
        <w:ind w:left="0" w:hanging="2"/>
        <w:rPr>
          <w:color w:val="000000"/>
        </w:rPr>
      </w:pPr>
    </w:p>
    <w:p w:rsidR="002A7147" w:rsidRPr="00FE40A4" w:rsidRDefault="002A7147">
      <w:pPr>
        <w:pBdr>
          <w:top w:val="nil"/>
          <w:left w:val="nil"/>
          <w:bottom w:val="nil"/>
          <w:right w:val="nil"/>
          <w:between w:val="nil"/>
        </w:pBdr>
        <w:spacing w:before="120" w:after="120" w:line="240" w:lineRule="auto"/>
        <w:ind w:left="0" w:hanging="2"/>
        <w:rPr>
          <w:color w:val="000000"/>
        </w:rPr>
      </w:pPr>
    </w:p>
    <w:p w:rsidR="002A7147" w:rsidRPr="00FE40A4" w:rsidRDefault="002A7147">
      <w:pPr>
        <w:pBdr>
          <w:top w:val="nil"/>
          <w:left w:val="nil"/>
          <w:bottom w:val="nil"/>
          <w:right w:val="nil"/>
          <w:between w:val="nil"/>
        </w:pBdr>
        <w:spacing w:before="120" w:after="120" w:line="240" w:lineRule="auto"/>
        <w:ind w:left="0" w:hanging="2"/>
        <w:rPr>
          <w:color w:val="000000"/>
        </w:rPr>
      </w:pPr>
      <w:bookmarkStart w:id="0" w:name="_GoBack"/>
      <w:bookmarkEnd w:id="0"/>
    </w:p>
    <w:p w:rsidR="002A7147" w:rsidRPr="00FE40A4" w:rsidRDefault="002A7147">
      <w:pPr>
        <w:pBdr>
          <w:top w:val="nil"/>
          <w:left w:val="nil"/>
          <w:bottom w:val="nil"/>
          <w:right w:val="nil"/>
          <w:between w:val="nil"/>
        </w:pBdr>
        <w:spacing w:before="120" w:after="120" w:line="240" w:lineRule="auto"/>
        <w:ind w:left="0" w:hanging="2"/>
        <w:rPr>
          <w:color w:val="000000"/>
        </w:rPr>
      </w:pPr>
    </w:p>
    <w:p w:rsidR="002A7147" w:rsidRPr="00DD1D86" w:rsidRDefault="00C20138">
      <w:pPr>
        <w:keepNext/>
        <w:keepLines/>
        <w:pBdr>
          <w:top w:val="nil"/>
          <w:left w:val="nil"/>
          <w:bottom w:val="nil"/>
          <w:right w:val="nil"/>
          <w:between w:val="nil"/>
        </w:pBdr>
        <w:spacing w:before="240" w:after="40"/>
        <w:ind w:left="0" w:hanging="2"/>
        <w:jc w:val="center"/>
        <w:rPr>
          <w:b/>
          <w:color w:val="000000"/>
          <w:sz w:val="16"/>
          <w:szCs w:val="16"/>
        </w:rPr>
      </w:pPr>
      <w:r w:rsidRPr="00DD1D86">
        <w:rPr>
          <w:b/>
          <w:noProof/>
          <w:color w:val="000000"/>
          <w:sz w:val="16"/>
          <w:szCs w:val="16"/>
        </w:rPr>
        <w:drawing>
          <wp:inline distT="0" distB="0" distL="114300" distR="114300">
            <wp:extent cx="1242695" cy="433070"/>
            <wp:effectExtent l="0" t="0" r="0" b="0"/>
            <wp:docPr id="1031" name="image1.png" descr="https://mirrors.creativecommons.org/presskit/buttons/88x31/png/by-sa.png"/>
            <wp:cNvGraphicFramePr/>
            <a:graphic xmlns:a="http://schemas.openxmlformats.org/drawingml/2006/main">
              <a:graphicData uri="http://schemas.openxmlformats.org/drawingml/2006/picture">
                <pic:pic xmlns:pic="http://schemas.openxmlformats.org/drawingml/2006/picture">
                  <pic:nvPicPr>
                    <pic:cNvPr id="0" name="image1.png" descr="https://mirrors.creativecommons.org/presskit/buttons/88x31/png/by-sa.png"/>
                    <pic:cNvPicPr preferRelativeResize="0"/>
                  </pic:nvPicPr>
                  <pic:blipFill>
                    <a:blip r:embed="rId8"/>
                    <a:srcRect/>
                    <a:stretch>
                      <a:fillRect/>
                    </a:stretch>
                  </pic:blipFill>
                  <pic:spPr>
                    <a:xfrm>
                      <a:off x="0" y="0"/>
                      <a:ext cx="1242695" cy="433070"/>
                    </a:xfrm>
                    <a:prstGeom prst="rect">
                      <a:avLst/>
                    </a:prstGeom>
                    <a:ln/>
                  </pic:spPr>
                </pic:pic>
              </a:graphicData>
            </a:graphic>
          </wp:inline>
        </w:drawing>
      </w:r>
    </w:p>
    <w:p w:rsidR="002A7147" w:rsidRPr="00DD1D86" w:rsidRDefault="00C20138">
      <w:pPr>
        <w:pBdr>
          <w:top w:val="nil"/>
          <w:left w:val="nil"/>
          <w:bottom w:val="nil"/>
          <w:right w:val="nil"/>
          <w:between w:val="nil"/>
        </w:pBdr>
        <w:spacing w:after="0" w:line="240" w:lineRule="auto"/>
        <w:ind w:left="0" w:hanging="2"/>
        <w:jc w:val="center"/>
        <w:rPr>
          <w:color w:val="000000"/>
          <w:sz w:val="16"/>
          <w:szCs w:val="16"/>
          <w:lang w:val="en-US"/>
        </w:rPr>
      </w:pPr>
      <w:r w:rsidRPr="00DD1D86">
        <w:rPr>
          <w:i/>
          <w:color w:val="000000"/>
          <w:sz w:val="16"/>
          <w:szCs w:val="16"/>
          <w:lang w:val="en-US"/>
        </w:rPr>
        <w:t>CC BY-SA 4.0     Attribution-</w:t>
      </w:r>
      <w:proofErr w:type="spellStart"/>
      <w:r w:rsidRPr="00DD1D86">
        <w:rPr>
          <w:i/>
          <w:color w:val="000000"/>
          <w:sz w:val="16"/>
          <w:szCs w:val="16"/>
          <w:lang w:val="en-US"/>
        </w:rPr>
        <w:t>ShareAlike</w:t>
      </w:r>
      <w:proofErr w:type="spellEnd"/>
      <w:r w:rsidRPr="00DD1D86">
        <w:rPr>
          <w:i/>
          <w:color w:val="000000"/>
          <w:sz w:val="16"/>
          <w:szCs w:val="16"/>
          <w:lang w:val="en-US"/>
        </w:rPr>
        <w:t xml:space="preserve"> 4.0 International</w:t>
      </w:r>
    </w:p>
    <w:p w:rsidR="002A7147" w:rsidRPr="00DD1D86" w:rsidRDefault="00C20138">
      <w:pPr>
        <w:pBdr>
          <w:top w:val="nil"/>
          <w:left w:val="nil"/>
          <w:bottom w:val="nil"/>
          <w:right w:val="nil"/>
          <w:between w:val="nil"/>
        </w:pBdr>
        <w:spacing w:after="0" w:line="240" w:lineRule="auto"/>
        <w:ind w:left="0" w:hanging="2"/>
        <w:jc w:val="center"/>
        <w:rPr>
          <w:color w:val="000000"/>
          <w:sz w:val="16"/>
          <w:szCs w:val="16"/>
          <w:lang w:val="en-US"/>
        </w:rPr>
      </w:pPr>
      <w:r w:rsidRPr="00DD1D86">
        <w:rPr>
          <w:i/>
          <w:color w:val="000000"/>
          <w:sz w:val="16"/>
          <w:szCs w:val="16"/>
          <w:lang w:val="en-US"/>
        </w:rPr>
        <w:t xml:space="preserve">For full text of the </w:t>
      </w:r>
      <w:proofErr w:type="spellStart"/>
      <w:r w:rsidRPr="00DD1D86">
        <w:rPr>
          <w:i/>
          <w:color w:val="000000"/>
          <w:sz w:val="16"/>
          <w:szCs w:val="16"/>
          <w:lang w:val="en-US"/>
        </w:rPr>
        <w:t>licence</w:t>
      </w:r>
      <w:proofErr w:type="spellEnd"/>
      <w:r w:rsidRPr="00DD1D86">
        <w:rPr>
          <w:i/>
          <w:color w:val="000000"/>
          <w:sz w:val="16"/>
          <w:szCs w:val="16"/>
          <w:lang w:val="en-US"/>
        </w:rPr>
        <w:t xml:space="preserve"> go to </w:t>
      </w:r>
      <w:hyperlink r:id="rId9">
        <w:r w:rsidRPr="00DD1D86">
          <w:rPr>
            <w:i/>
            <w:color w:val="0563C1"/>
            <w:sz w:val="16"/>
            <w:szCs w:val="16"/>
            <w:u w:val="single"/>
            <w:lang w:val="en-US"/>
          </w:rPr>
          <w:t>https://creativecommons.org/</w:t>
        </w:r>
      </w:hyperlink>
      <w:r w:rsidRPr="00DD1D86">
        <w:rPr>
          <w:i/>
          <w:color w:val="000000"/>
          <w:sz w:val="16"/>
          <w:szCs w:val="16"/>
          <w:lang w:val="en-US"/>
        </w:rPr>
        <w:t xml:space="preserve"> </w:t>
      </w:r>
    </w:p>
    <w:p w:rsidR="002A7147" w:rsidRPr="00DD1D86" w:rsidRDefault="002A7147">
      <w:pPr>
        <w:pBdr>
          <w:top w:val="nil"/>
          <w:left w:val="nil"/>
          <w:bottom w:val="nil"/>
          <w:right w:val="nil"/>
          <w:between w:val="nil"/>
        </w:pBdr>
        <w:spacing w:before="120" w:after="120" w:line="240" w:lineRule="auto"/>
        <w:ind w:left="0" w:hanging="2"/>
        <w:rPr>
          <w:color w:val="000000"/>
          <w:lang w:val="en-US"/>
        </w:rPr>
      </w:pPr>
    </w:p>
    <w:sectPr w:rsidR="002A7147" w:rsidRPr="00DD1D86">
      <w:headerReference w:type="even" r:id="rId10"/>
      <w:headerReference w:type="default" r:id="rId11"/>
      <w:footerReference w:type="even" r:id="rId12"/>
      <w:footerReference w:type="default" r:id="rId13"/>
      <w:headerReference w:type="first" r:id="rId14"/>
      <w:footerReference w:type="first" r:id="rId15"/>
      <w:pgSz w:w="11906" w:h="16838"/>
      <w:pgMar w:top="720" w:right="720" w:bottom="510" w:left="72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6D0" w:rsidRDefault="00C946D0">
      <w:pPr>
        <w:spacing w:after="0" w:line="240" w:lineRule="auto"/>
        <w:ind w:left="0" w:hanging="2"/>
      </w:pPr>
      <w:r>
        <w:separator/>
      </w:r>
    </w:p>
  </w:endnote>
  <w:endnote w:type="continuationSeparator" w:id="0">
    <w:p w:rsidR="00C946D0" w:rsidRDefault="00C946D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9D" w:rsidRDefault="00427F9D">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147" w:rsidRDefault="00C20138">
    <w:pPr>
      <w:pBdr>
        <w:top w:val="nil"/>
        <w:left w:val="nil"/>
        <w:bottom w:val="nil"/>
        <w:right w:val="nil"/>
        <w:between w:val="nil"/>
      </w:pBdr>
      <w:spacing w:after="0" w:line="240" w:lineRule="auto"/>
      <w:ind w:left="0" w:hanging="2"/>
      <w:jc w:val="center"/>
      <w:rPr>
        <w:rFonts w:ascii="Times New Roman" w:eastAsia="Times New Roman" w:hAnsi="Times New Roman" w:cs="Times New Roman"/>
        <w:sz w:val="16"/>
        <w:szCs w:val="16"/>
      </w:rPr>
    </w:pPr>
    <w:r>
      <w:rPr>
        <w:rFonts w:ascii="Arial" w:eastAsia="Arial" w:hAnsi="Arial" w:cs="Arial"/>
        <w:sz w:val="16"/>
        <w:szCs w:val="16"/>
      </w:rPr>
      <w:t xml:space="preserve">Wsparcie Komisji Europejskiej dla powstania tej publikacji nie stanowi poparcia dla jej treści, która odzwierciedla jedynie poglądy autorów, </w:t>
    </w:r>
    <w:r w:rsidR="00427F9D">
      <w:rPr>
        <w:rFonts w:ascii="Arial" w:eastAsia="Arial" w:hAnsi="Arial" w:cs="Arial"/>
        <w:sz w:val="16"/>
        <w:szCs w:val="16"/>
      </w:rPr>
      <w:t xml:space="preserve">                 </w:t>
    </w:r>
    <w:r>
      <w:rPr>
        <w:rFonts w:ascii="Arial" w:eastAsia="Arial" w:hAnsi="Arial" w:cs="Arial"/>
        <w:sz w:val="16"/>
        <w:szCs w:val="16"/>
      </w:rPr>
      <w:t>a Komisja nie ponosi odpowiedzialności za jakiekolwiek wykorzystanie informacji w niej zawartych.</w:t>
    </w:r>
  </w:p>
  <w:p w:rsidR="002A7147" w:rsidRDefault="002A7147">
    <w:pPr>
      <w:pBdr>
        <w:top w:val="nil"/>
        <w:left w:val="nil"/>
        <w:bottom w:val="nil"/>
        <w:right w:val="nil"/>
        <w:between w:val="nil"/>
      </w:pBdr>
      <w:spacing w:after="0" w:line="240" w:lineRule="auto"/>
      <w:rPr>
        <w:color w:val="000000"/>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9D" w:rsidRDefault="00427F9D">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6D0" w:rsidRDefault="00C946D0">
      <w:pPr>
        <w:spacing w:after="0" w:line="240" w:lineRule="auto"/>
        <w:ind w:left="0" w:hanging="2"/>
      </w:pPr>
      <w:r>
        <w:separator/>
      </w:r>
    </w:p>
  </w:footnote>
  <w:footnote w:type="continuationSeparator" w:id="0">
    <w:p w:rsidR="00C946D0" w:rsidRDefault="00C946D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9D" w:rsidRDefault="00427F9D">
    <w:pPr>
      <w:pStyle w:val="Nagwek"/>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147" w:rsidRDefault="00C20138">
    <w:pPr>
      <w:pBdr>
        <w:top w:val="nil"/>
        <w:left w:val="nil"/>
        <w:bottom w:val="nil"/>
        <w:right w:val="nil"/>
        <w:between w:val="nil"/>
      </w:pBdr>
      <w:spacing w:after="0" w:line="240" w:lineRule="auto"/>
      <w:ind w:left="0" w:hanging="2"/>
      <w:rPr>
        <w:color w:val="000000"/>
      </w:rPr>
    </w:pPr>
    <w:r>
      <w:rPr>
        <w:noProof/>
      </w:rPr>
      <w:drawing>
        <wp:anchor distT="0" distB="0" distL="114300" distR="114300" simplePos="0" relativeHeight="251658240" behindDoc="0" locked="0" layoutInCell="1" hidden="0" allowOverlap="1">
          <wp:simplePos x="0" y="0"/>
          <wp:positionH relativeFrom="column">
            <wp:posOffset>4510405</wp:posOffset>
          </wp:positionH>
          <wp:positionV relativeFrom="paragraph">
            <wp:posOffset>-222248</wp:posOffset>
          </wp:positionV>
          <wp:extent cx="2201545" cy="483870"/>
          <wp:effectExtent l="0" t="0" r="0" b="0"/>
          <wp:wrapSquare wrapText="bothSides" distT="0" distB="0" distL="114300" distR="114300"/>
          <wp:docPr id="103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2201545" cy="483870"/>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-281938</wp:posOffset>
          </wp:positionH>
          <wp:positionV relativeFrom="paragraph">
            <wp:posOffset>-255903</wp:posOffset>
          </wp:positionV>
          <wp:extent cx="1525905" cy="610235"/>
          <wp:effectExtent l="0" t="0" r="0" b="0"/>
          <wp:wrapSquare wrapText="bothSides" distT="0" distB="0" distL="114300" distR="114300"/>
          <wp:docPr id="102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525905" cy="610235"/>
                  </a:xfrm>
                  <a:prstGeom prst="rect">
                    <a:avLst/>
                  </a:prstGeom>
                  <a:ln/>
                </pic:spPr>
              </pic:pic>
            </a:graphicData>
          </a:graphic>
        </wp:anchor>
      </w:drawing>
    </w:r>
  </w:p>
  <w:p w:rsidR="002A7147" w:rsidRDefault="002A7147">
    <w:pPr>
      <w:pBdr>
        <w:top w:val="nil"/>
        <w:left w:val="nil"/>
        <w:bottom w:val="nil"/>
        <w:right w:val="nil"/>
        <w:between w:val="nil"/>
      </w:pBdr>
      <w:spacing w:after="0" w:line="240" w:lineRule="auto"/>
      <w:ind w:left="0" w:hanging="2"/>
      <w:rPr>
        <w:color w:val="000000"/>
      </w:rPr>
    </w:pPr>
  </w:p>
  <w:p w:rsidR="002A7147" w:rsidRDefault="002A7147">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9D" w:rsidRDefault="00427F9D">
    <w:pPr>
      <w:pStyle w:val="Nagwek"/>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45B1"/>
    <w:multiLevelType w:val="multilevel"/>
    <w:tmpl w:val="CEA425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147"/>
    <w:rsid w:val="002A7147"/>
    <w:rsid w:val="00427F9D"/>
    <w:rsid w:val="00C20138"/>
    <w:rsid w:val="00C946D0"/>
    <w:rsid w:val="00DD1D86"/>
    <w:rsid w:val="00FE4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58AC90-20E1-4661-B2C4-81CF9223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pl-PL" w:bidi="ar-SA"/>
      </w:rPr>
    </w:rPrDefault>
    <w:pPrDefault>
      <w:pPr>
        <w:spacing w:after="160" w:line="259" w:lineRule="auto"/>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ind w:leftChars="-1" w:left="-1" w:hangingChars="1"/>
      <w:textDirection w:val="btLr"/>
      <w:textAlignment w:val="top"/>
      <w:outlineLvl w:val="0"/>
    </w:pPr>
    <w:rPr>
      <w:position w:val="-1"/>
      <w:lang w:val="pl-PL"/>
    </w:rPr>
  </w:style>
  <w:style w:type="paragraph" w:styleId="Nagwek1">
    <w:name w:val="heading 1"/>
    <w:basedOn w:val="Normalny"/>
    <w:next w:val="Normalny"/>
    <w:uiPriority w:val="9"/>
    <w:qFormat/>
    <w:pPr>
      <w:keepNext/>
      <w:keepLines/>
      <w:spacing w:before="240" w:after="0"/>
    </w:pPr>
    <w:rPr>
      <w:rFonts w:ascii="Calibri Light" w:eastAsia="Times New Roman" w:hAnsi="Calibri Light" w:cs="Times New Roman"/>
      <w:color w:val="2F5496"/>
      <w:sz w:val="32"/>
      <w:szCs w:val="32"/>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next w:val="TableNormal0"/>
    <w:pPr>
      <w:suppressAutoHyphens/>
      <w:ind w:leftChars="-1" w:left="-1" w:hangingChars="1"/>
      <w:textDirection w:val="btLr"/>
      <w:textAlignment w:val="top"/>
      <w:outlineLvl w:val="0"/>
    </w:pPr>
    <w:rPr>
      <w:position w:val="-1"/>
    </w:rPr>
    <w:tblPr>
      <w:tblCellMar>
        <w:top w:w="0" w:type="dxa"/>
        <w:left w:w="0" w:type="dxa"/>
        <w:bottom w:w="0" w:type="dxa"/>
        <w:right w:w="0" w:type="dxa"/>
      </w:tblCellMar>
    </w:tblPr>
  </w:style>
  <w:style w:type="table" w:styleId="Tabela-Siatka">
    <w:name w:val="Table Grid"/>
    <w:basedOn w:val="Standardowy"/>
    <w:pPr>
      <w:suppressAutoHyphens/>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pPr>
      <w:ind w:left="720"/>
      <w:contextualSpacing/>
    </w:pPr>
  </w:style>
  <w:style w:type="character" w:styleId="Hipercze">
    <w:name w:val="Hyperlink"/>
    <w:qFormat/>
    <w:rPr>
      <w:color w:val="0563C1"/>
      <w:w w:val="100"/>
      <w:position w:val="-1"/>
      <w:u w:val="single"/>
      <w:effect w:val="none"/>
      <w:vertAlign w:val="baseline"/>
      <w:cs w:val="0"/>
      <w:em w:val="none"/>
    </w:rPr>
  </w:style>
  <w:style w:type="character" w:customStyle="1" w:styleId="UnresolvedMention">
    <w:name w:val="Unresolved Mention"/>
    <w:qFormat/>
    <w:rPr>
      <w:color w:val="605E5C"/>
      <w:w w:val="100"/>
      <w:position w:val="-1"/>
      <w:effect w:val="none"/>
      <w:shd w:val="clear" w:color="auto" w:fill="E1DFDD"/>
      <w:vertAlign w:val="baseline"/>
      <w:cs w:val="0"/>
      <w:em w:val="none"/>
    </w:rPr>
  </w:style>
  <w:style w:type="character" w:customStyle="1" w:styleId="Nagwek1Znak">
    <w:name w:val="Nagłówek 1 Znak"/>
    <w:rPr>
      <w:rFonts w:ascii="Calibri Light" w:eastAsia="Times New Roman" w:hAnsi="Calibri Light" w:cs="Times New Roman"/>
      <w:color w:val="2F5496"/>
      <w:w w:val="100"/>
      <w:position w:val="-1"/>
      <w:sz w:val="32"/>
      <w:szCs w:val="32"/>
      <w:effect w:val="none"/>
      <w:vertAlign w:val="baseline"/>
      <w:cs w:val="0"/>
      <w:em w:val="none"/>
      <w:lang w:val="en-US"/>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paragraph" w:styleId="Nagwek">
    <w:name w:val="header"/>
    <w:basedOn w:val="Normalny"/>
    <w:qFormat/>
    <w:pPr>
      <w:spacing w:after="0" w:line="240" w:lineRule="auto"/>
    </w:pPr>
  </w:style>
  <w:style w:type="character" w:customStyle="1" w:styleId="NagwekZnak">
    <w:name w:val="Nagłówek Znak"/>
    <w:basedOn w:val="Domylnaczcionkaakapitu"/>
    <w:rPr>
      <w:w w:val="100"/>
      <w:position w:val="-1"/>
      <w:effect w:val="none"/>
      <w:vertAlign w:val="baseline"/>
      <w:cs w:val="0"/>
      <w:em w:val="none"/>
    </w:rPr>
  </w:style>
  <w:style w:type="paragraph" w:styleId="Stopka">
    <w:name w:val="footer"/>
    <w:basedOn w:val="Normalny"/>
    <w:qFormat/>
    <w:pPr>
      <w:spacing w:after="0" w:line="240" w:lineRule="auto"/>
    </w:pPr>
  </w:style>
  <w:style w:type="character" w:customStyle="1" w:styleId="StopkaZnak">
    <w:name w:val="Stopka Znak"/>
    <w:basedOn w:val="Domylnaczcionkaakapitu"/>
    <w:rPr>
      <w:w w:val="100"/>
      <w:position w:val="-1"/>
      <w:effect w:val="none"/>
      <w:vertAlign w:val="baseline"/>
      <w:cs w:val="0"/>
      <w:em w:val="none"/>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val="en-US"/>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val="en-US"/>
    </w:rPr>
  </w:style>
  <w:style w:type="paragraph" w:styleId="Tekstdymka">
    <w:name w:val="Balloon Text"/>
    <w:basedOn w:val="Normalny"/>
    <w:qFormat/>
    <w:pPr>
      <w:spacing w:after="0" w:line="240" w:lineRule="auto"/>
    </w:pPr>
    <w:rPr>
      <w:rFonts w:ascii="Segoe UI" w:hAnsi="Segoe UI" w:cs="Segoe UI"/>
      <w:sz w:val="18"/>
      <w:szCs w:val="18"/>
    </w:rPr>
  </w:style>
  <w:style w:type="character" w:customStyle="1" w:styleId="TekstdymkaZnak">
    <w:name w:val="Tekst dymka Znak"/>
    <w:rPr>
      <w:rFonts w:ascii="Segoe UI" w:hAnsi="Segoe UI" w:cs="Segoe UI"/>
      <w:w w:val="100"/>
      <w:position w:val="-1"/>
      <w:sz w:val="18"/>
      <w:szCs w:val="18"/>
      <w:effect w:val="none"/>
      <w:vertAlign w:val="baseline"/>
      <w:cs w:val="0"/>
      <w:em w:val="none"/>
      <w:lang w:val="en-US"/>
    </w:rPr>
  </w:style>
  <w:style w:type="paragraph" w:styleId="Poprawka">
    <w:name w:val="Revision"/>
    <w:pPr>
      <w:suppressAutoHyphens/>
      <w:spacing w:line="1" w:lineRule="atLeast"/>
      <w:ind w:leftChars="-1" w:left="-1" w:hangingChars="1"/>
      <w:textDirection w:val="btLr"/>
      <w:textAlignment w:val="top"/>
      <w:outlineLvl w:val="0"/>
    </w:pPr>
    <w:rPr>
      <w:position w:val="-1"/>
    </w:rPr>
  </w:style>
  <w:style w:type="character" w:customStyle="1" w:styleId="Nagwek4Znak">
    <w:name w:val="Nagłówek 4 Znak"/>
    <w:rPr>
      <w:b/>
      <w:w w:val="100"/>
      <w:position w:val="-1"/>
      <w:sz w:val="24"/>
      <w:szCs w:val="24"/>
      <w:effect w:val="none"/>
      <w:vertAlign w:val="baseline"/>
      <w:cs w:val="0"/>
      <w:em w:val="none"/>
      <w:lang w:val="en-US"/>
    </w:r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dYq+a3DaBMrmer1CIFMzP3P0Ug==">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794</Words>
  <Characters>4767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Społeczna Akademia Nauk</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Wodnicka</dc:creator>
  <cp:lastModifiedBy>Marta Kędzia</cp:lastModifiedBy>
  <cp:revision>3</cp:revision>
  <dcterms:created xsi:type="dcterms:W3CDTF">2021-12-04T10:11:00Z</dcterms:created>
  <dcterms:modified xsi:type="dcterms:W3CDTF">2022-04-06T16:45:00Z</dcterms:modified>
</cp:coreProperties>
</file>